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B7" w:rsidRPr="000977DE" w:rsidRDefault="00F90AAC" w:rsidP="00AA2D63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附件</w:t>
      </w:r>
    </w:p>
    <w:p w:rsidR="007430B7" w:rsidRPr="000977DE" w:rsidRDefault="007430B7" w:rsidP="00AA2D63">
      <w:pPr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napToGrid w:val="0"/>
          <w:color w:val="000000" w:themeColor="text1"/>
          <w:kern w:val="0"/>
          <w:sz w:val="44"/>
          <w:szCs w:val="44"/>
        </w:rPr>
      </w:pPr>
    </w:p>
    <w:p w:rsidR="007430B7" w:rsidRPr="000977DE" w:rsidRDefault="00F90AAC" w:rsidP="00AA2D6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 w:themeColor="text1"/>
          <w:kern w:val="0"/>
          <w:sz w:val="44"/>
          <w:szCs w:val="44"/>
        </w:rPr>
      </w:pPr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2025年穗港澳科学教育教研</w:t>
      </w:r>
      <w:proofErr w:type="gramStart"/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暨学生</w:t>
      </w:r>
      <w:proofErr w:type="gramEnd"/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科技交流</w:t>
      </w:r>
    </w:p>
    <w:p w:rsidR="007430B7" w:rsidRPr="000977DE" w:rsidRDefault="00F90AAC" w:rsidP="00AA2D6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 w:themeColor="text1"/>
          <w:kern w:val="0"/>
          <w:sz w:val="44"/>
          <w:szCs w:val="44"/>
        </w:rPr>
      </w:pPr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活动方案</w:t>
      </w:r>
    </w:p>
    <w:p w:rsidR="007430B7" w:rsidRPr="000977DE" w:rsidRDefault="007430B7" w:rsidP="00AA2D63">
      <w:pPr>
        <w:adjustRightInd w:val="0"/>
        <w:snapToGrid w:val="0"/>
        <w:spacing w:line="520" w:lineRule="exac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36"/>
        </w:rPr>
      </w:pP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一、组织机构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（一）主办单位：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广州市教育局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（二）承办单位：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广州市第二中学、澳门培正中学、广州市青少年科技教育协会、香港科技教育学会、澳门科技创新教育学会、澳门科技教育协会</w:t>
      </w:r>
    </w:p>
    <w:p w:rsidR="007430B7" w:rsidRPr="000977DE" w:rsidRDefault="00F90AAC" w:rsidP="00AA2D63">
      <w:pPr>
        <w:numPr>
          <w:ilvl w:val="0"/>
          <w:numId w:val="1"/>
        </w:numPr>
        <w:adjustRightInd w:val="0"/>
        <w:snapToGrid w:val="0"/>
        <w:spacing w:line="520" w:lineRule="exact"/>
        <w:ind w:left="0"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活动内容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（一）穗港澳科学教师科学教育教研活动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教学成果展示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科学课示范课展示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工作坊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专家讲座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高新科技企业调研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（二）穗港澳学生科技交流活动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高新科技企业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研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学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学生成果交流展示项目：空中足球、室内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筋动力飞机、科学种植、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绿建未来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、水底机器人、飞行汽车设计（以竞赛的形式进行，根据项目规则对展示成果进行奖励）</w:t>
      </w:r>
    </w:p>
    <w:p w:rsidR="007430B7" w:rsidRPr="000977DE" w:rsidRDefault="00F90AAC" w:rsidP="00AA2D63">
      <w:pPr>
        <w:numPr>
          <w:ilvl w:val="0"/>
          <w:numId w:val="1"/>
        </w:numPr>
        <w:adjustRightInd w:val="0"/>
        <w:snapToGrid w:val="0"/>
        <w:spacing w:line="520" w:lineRule="exact"/>
        <w:ind w:left="0"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活动对象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穗港澳中小学师生。邀请香港科技教育学会、澳门科技创新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lastRenderedPageBreak/>
        <w:t>教育学会、澳门科技教育协会组织港澳学校师生参与。</w:t>
      </w:r>
    </w:p>
    <w:p w:rsidR="007430B7" w:rsidRPr="000977DE" w:rsidRDefault="00F90AAC" w:rsidP="00AA2D63">
      <w:pPr>
        <w:numPr>
          <w:ilvl w:val="0"/>
          <w:numId w:val="1"/>
        </w:numPr>
        <w:adjustRightInd w:val="0"/>
        <w:snapToGrid w:val="0"/>
        <w:spacing w:line="520" w:lineRule="exact"/>
        <w:ind w:left="0"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活动时间与地点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（一）时间：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2025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年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月至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月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b/>
          <w:bCs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（二）地点：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广州市第二中学（下称广州二中）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32"/>
          <w:szCs w:val="32"/>
        </w:rPr>
        <w:t>（三）日程安排</w:t>
      </w:r>
    </w:p>
    <w:tbl>
      <w:tblPr>
        <w:tblStyle w:val="a6"/>
        <w:tblW w:w="8685" w:type="dxa"/>
        <w:jc w:val="center"/>
        <w:tblInd w:w="296" w:type="dxa"/>
        <w:tblLook w:val="04A0" w:firstRow="1" w:lastRow="0" w:firstColumn="1" w:lastColumn="0" w:noHBand="0" w:noVBand="1"/>
      </w:tblPr>
      <w:tblGrid>
        <w:gridCol w:w="2177"/>
        <w:gridCol w:w="4923"/>
        <w:gridCol w:w="1585"/>
      </w:tblGrid>
      <w:tr w:rsidR="000977DE" w:rsidRPr="000977DE" w:rsidTr="00AA2D63">
        <w:trPr>
          <w:jc w:val="center"/>
        </w:trPr>
        <w:tc>
          <w:tcPr>
            <w:tcW w:w="2177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4923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内容</w:t>
            </w:r>
          </w:p>
        </w:tc>
        <w:tc>
          <w:tcPr>
            <w:tcW w:w="1585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地点</w:t>
            </w:r>
          </w:p>
        </w:tc>
      </w:tr>
      <w:tr w:rsidR="000977DE" w:rsidRPr="000977DE" w:rsidTr="00AA2D63">
        <w:trPr>
          <w:jc w:val="center"/>
        </w:trPr>
        <w:tc>
          <w:tcPr>
            <w:tcW w:w="2177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24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日前</w:t>
            </w:r>
          </w:p>
        </w:tc>
        <w:tc>
          <w:tcPr>
            <w:tcW w:w="4923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预报名</w:t>
            </w:r>
          </w:p>
        </w:tc>
        <w:tc>
          <w:tcPr>
            <w:tcW w:w="1585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线上</w:t>
            </w:r>
          </w:p>
        </w:tc>
      </w:tr>
      <w:tr w:rsidR="000977DE" w:rsidRPr="000977DE" w:rsidTr="00AA2D63">
        <w:trPr>
          <w:jc w:val="center"/>
        </w:trPr>
        <w:tc>
          <w:tcPr>
            <w:tcW w:w="2177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11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日前</w:t>
            </w:r>
          </w:p>
        </w:tc>
        <w:tc>
          <w:tcPr>
            <w:tcW w:w="4923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报名</w:t>
            </w:r>
          </w:p>
        </w:tc>
        <w:tc>
          <w:tcPr>
            <w:tcW w:w="1585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线上</w:t>
            </w:r>
          </w:p>
        </w:tc>
      </w:tr>
      <w:tr w:rsidR="000977DE" w:rsidRPr="000977DE" w:rsidTr="00AA2D63">
        <w:trPr>
          <w:jc w:val="center"/>
        </w:trPr>
        <w:tc>
          <w:tcPr>
            <w:tcW w:w="2177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11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22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日上午</w:t>
            </w:r>
          </w:p>
        </w:tc>
        <w:tc>
          <w:tcPr>
            <w:tcW w:w="4923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报到</w:t>
            </w:r>
          </w:p>
        </w:tc>
        <w:tc>
          <w:tcPr>
            <w:tcW w:w="1585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广州二中</w:t>
            </w:r>
          </w:p>
        </w:tc>
      </w:tr>
      <w:tr w:rsidR="000977DE" w:rsidRPr="000977DE" w:rsidTr="00AA2D63">
        <w:trPr>
          <w:jc w:val="center"/>
        </w:trPr>
        <w:tc>
          <w:tcPr>
            <w:tcW w:w="2177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11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22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日下午</w:t>
            </w:r>
          </w:p>
        </w:tc>
        <w:tc>
          <w:tcPr>
            <w:tcW w:w="4923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穗港澳学生科技交流活动</w:t>
            </w:r>
          </w:p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穗港澳科学教师科学教育教研活动</w:t>
            </w:r>
          </w:p>
        </w:tc>
        <w:tc>
          <w:tcPr>
            <w:tcW w:w="1585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广州二中</w:t>
            </w:r>
          </w:p>
        </w:tc>
      </w:tr>
      <w:tr w:rsidR="000977DE" w:rsidRPr="000977DE" w:rsidTr="00AA2D63">
        <w:trPr>
          <w:jc w:val="center"/>
        </w:trPr>
        <w:tc>
          <w:tcPr>
            <w:tcW w:w="2177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11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23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4923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穗港澳学生科技交流活动</w:t>
            </w:r>
          </w:p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穗港澳科学教师科学教育教研活动</w:t>
            </w:r>
          </w:p>
        </w:tc>
        <w:tc>
          <w:tcPr>
            <w:tcW w:w="1585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广州二中</w:t>
            </w:r>
          </w:p>
        </w:tc>
      </w:tr>
    </w:tbl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五、奖励设置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（一）评选优秀组织奖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项；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（二）评选优秀指导老师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名；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（三）穗港澳学生科技交流活动各项目以竞技的形式开展，根据对应项目评分规则（见附件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）进行奖励。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六、参与方式</w:t>
      </w:r>
    </w:p>
    <w:p w:rsidR="007430B7" w:rsidRPr="000977DE" w:rsidRDefault="00F90AAC" w:rsidP="00AA2D63">
      <w:pPr>
        <w:adjustRightInd w:val="0"/>
        <w:snapToGrid w:val="0"/>
        <w:spacing w:line="520" w:lineRule="exact"/>
        <w:ind w:firstLineChars="200" w:firstLine="628"/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（一）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2025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年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24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日前，拟参加的学校扫描以下二维码，提交预报名表，形成穗港澳科学教育教研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暨学生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科技交流活动名录。</w:t>
      </w:r>
    </w:p>
    <w:p w:rsidR="007430B7" w:rsidRPr="000977DE" w:rsidRDefault="00F90AAC" w:rsidP="00AA2D63">
      <w:pPr>
        <w:adjustRightInd w:val="0"/>
        <w:snapToGrid w:val="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0977DE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8"/>
          <w:szCs w:val="36"/>
        </w:rPr>
        <w:drawing>
          <wp:inline distT="0" distB="0" distL="114300" distR="114300" wp14:anchorId="3BE8DA5F" wp14:editId="6F0E4C8B">
            <wp:extent cx="1417955" cy="1415415"/>
            <wp:effectExtent l="0" t="0" r="10795" b="13335"/>
            <wp:docPr id="7" name="图片 7" descr="de4304590980de5d09c2d5a62f1c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4304590980de5d09c2d5a62f1c35d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32"/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lastRenderedPageBreak/>
        <w:t>（二）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2025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年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11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日前，广州市学校发送报名表（见附件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）至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gdkejijiaoyu@163.com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2"/>
          <w:kern w:val="0"/>
          <w:sz w:val="32"/>
          <w:szCs w:val="32"/>
        </w:rPr>
        <w:t>报名参赛；港澳地区提交报名表至香港科技教育学会、澳门科技创新教育学会、澳门科技教育协会。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七、联系方式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一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）（广州）广州市第二中学、穗港澳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教育联盟秘书长颜丽娟老师，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13631371711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44711914@qq.com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（二）（澳门特别行政区）澳门科技创新教育学会会长刘冠华老师，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+853-66830543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thomaslao@gmail.com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（三）（香港特别行政区）香港科技教育学会理事郑加略老师，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+85292216608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carlos10240@gmail.com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八、费用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本活动不收取参赛费，参赛人员的食宿及交通费用自理。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九、其他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未尽事宜见赛事承办单位补充通知。</w:t>
      </w:r>
    </w:p>
    <w:p w:rsidR="00AA2D63" w:rsidRPr="000977DE" w:rsidRDefault="00AA2D63" w:rsidP="00AA2D6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附件：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穗港澳学生科技交流活动项目规则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510" w:firstLine="1632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穗港澳科学教育教研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暨学生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科技交流活动报名表</w:t>
      </w:r>
    </w:p>
    <w:p w:rsidR="00772A59" w:rsidRPr="000977DE" w:rsidRDefault="00772A59" w:rsidP="00AA2D6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:rsidR="00772A59" w:rsidRPr="000977DE" w:rsidRDefault="00772A59" w:rsidP="00AA2D6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:rsidR="00AA2D63" w:rsidRPr="000977DE" w:rsidRDefault="00AA2D63" w:rsidP="00AA2D63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</w:pPr>
    </w:p>
    <w:p w:rsidR="00AA2D63" w:rsidRPr="000977DE" w:rsidRDefault="00AA2D63" w:rsidP="00AA2D63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</w:pPr>
    </w:p>
    <w:p w:rsidR="00AA2D63" w:rsidRPr="000977DE" w:rsidRDefault="00AA2D63" w:rsidP="00AA2D63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</w:pPr>
    </w:p>
    <w:p w:rsidR="00AA2D63" w:rsidRPr="000977DE" w:rsidRDefault="00AA2D63" w:rsidP="00AA2D63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</w:pPr>
    </w:p>
    <w:p w:rsidR="007430B7" w:rsidRPr="000977DE" w:rsidRDefault="00F90AAC" w:rsidP="00AA2D63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  <w:lastRenderedPageBreak/>
        <w:t>附件1</w:t>
      </w:r>
    </w:p>
    <w:p w:rsidR="007430B7" w:rsidRPr="000977DE" w:rsidRDefault="007430B7" w:rsidP="00AA2D63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:rsidR="007430B7" w:rsidRPr="000977DE" w:rsidRDefault="00F90AAC" w:rsidP="00AA2D6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 w:themeColor="text1"/>
          <w:kern w:val="0"/>
          <w:sz w:val="44"/>
          <w:szCs w:val="44"/>
        </w:rPr>
      </w:pPr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穗港澳科学教育教研</w:t>
      </w:r>
      <w:proofErr w:type="gramStart"/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暨学生</w:t>
      </w:r>
      <w:proofErr w:type="gramEnd"/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科技交流活动</w:t>
      </w:r>
    </w:p>
    <w:p w:rsidR="007430B7" w:rsidRPr="000977DE" w:rsidRDefault="00F90AAC" w:rsidP="00AA2D6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 w:themeColor="text1"/>
          <w:kern w:val="0"/>
          <w:sz w:val="44"/>
          <w:szCs w:val="44"/>
        </w:rPr>
      </w:pPr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——穗港澳学生科技交流活动项目规则</w:t>
      </w:r>
    </w:p>
    <w:p w:rsidR="007430B7" w:rsidRPr="000977DE" w:rsidRDefault="007430B7" w:rsidP="00AA2D63">
      <w:pPr>
        <w:adjustRightInd w:val="0"/>
        <w:snapToGrid w:val="0"/>
        <w:spacing w:line="560" w:lineRule="exac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32"/>
          <w:szCs w:val="40"/>
        </w:rPr>
      </w:pP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一、空中足球（小学组、中学组）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无人机足球是一项融合无人机技术与足球竞技规则、考验选手操控技术、充分团队配合与策略思维的科技竞赛项目。比赛以每队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名运动员操控符合规格的球形无人机为核心，无人机需采用直径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毫米左右的魔术板材球形框架，内置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个特定规格有刷电机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与闭源一体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飞控，飞行重量不超过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70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克，且进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攻球需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配备对应颜色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LED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灯与标识带。赛事在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6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×3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×3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的封闭场地内进行，分排名赛与淘汰赛两阶段：排名赛进行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轮限时飞行，取最优成绩排序；淘汰赛按顺位交叉配对，通过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分钟有效比赛时间的攻防对抗决胜负，进攻球正面穿过对方球门得分，比分相同则加时或点球决胜。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（一）模型参数要求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用软性材料设计可拼接球形框架（直径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≤220mm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），包裹飞控、电机、电池及螺旋桨（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≤60mm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），整机飞行重量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≤100g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；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动力电池最大电压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≤4.35V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1S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），仅可用自稳、手动、定高模式，禁用定位、自驾功能；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按资格赛排名确定淘汰赛对阵情况，根据对阵情况确定双方灯光颜色，设解锁开关与手动坠落模式（故障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/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飞出场时可停动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lastRenderedPageBreak/>
        <w:t>力），以无线电目视操控。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（二）检录要求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赛前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分钟内检录，逾期弃赛；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核对无人机参数、灯光、安全功能，不合格者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5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分钟内整改复检，仍不合格取消资格；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核验遥控器，禁用违规改装设备。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（三）比赛规则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参赛人员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每队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人，独立操控，无助手。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场地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在室内约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6×4×3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米范围内布置赛道，分别在距离场地两端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0.5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米处居中设置双方球门，球门内圈直径为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0.4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米，球门圆心离地高度为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米。示意图如下所示。</w:t>
      </w:r>
    </w:p>
    <w:p w:rsidR="007430B7" w:rsidRPr="000977DE" w:rsidRDefault="00F90AAC" w:rsidP="00AA2D63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9B6F21" wp14:editId="7002F790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5839460" cy="2178050"/>
            <wp:effectExtent l="0" t="0" r="8890" b="0"/>
            <wp:wrapTopAndBottom/>
            <wp:docPr id="8" name="图片 8" descr="568f04e839b1cefe70c6427b1bfc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68f04e839b1cefe70c6427b1bfc461"/>
                    <pic:cNvPicPr>
                      <a:picLocks noChangeAspect="1"/>
                    </pic:cNvPicPr>
                  </pic:nvPicPr>
                  <pic:blipFill>
                    <a:blip r:embed="rId9"/>
                    <a:srcRect l="2973" t="16267" r="3370" b="2280"/>
                    <a:stretch>
                      <a:fillRect/>
                    </a:stretch>
                  </pic:blipFill>
                  <pic:spPr>
                    <a:xfrm>
                      <a:off x="0" y="0"/>
                      <a:ext cx="583946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资格赛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资格赛限时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分钟。队长按下计时器后比赛开始，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名选手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lastRenderedPageBreak/>
        <w:t>需分别操控己方无人机依次穿过球门。当第三台无人机成功穿过球门时，裁判鸣哨，队长应立即按下计时器停止计时。最终成绩为从开始到停止的时长。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淘汰赛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）赛前准备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按裁判要求开机对频、调灯光，球置起飞点闭锁，抽签定次序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/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场地。每队指定一名得分球并通过赛前绑定的标识带进行区分。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）竞赛流程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开赛：裁判发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解锁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-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起飞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-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开始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指令，赛前球离地即判为犯规（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次警告，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次判负）；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得分：得分球完全穿过对方球门得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己方球穿本方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球门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算对方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得分；进球后需回中线才能再进攻；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故障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/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中场：故障球半场后修或换备机，中场交换场地、限时换零件；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制胜：先得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分且分差不小于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分者为胜。未满足上述条件，则常规时间结束后得分领先者为胜，比赛终止。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）加时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/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点球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加时：常规时间结束后比分平则金球决胜（首进球方胜）；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点球：加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时仍平则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进入点球环节。点球采用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1V1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，同一起飞线起飞，先得分方胜；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抢飞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警告，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次判负。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成绩评定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单场淘汰制，按常规赛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→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加时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→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点球比分决胜负，于同一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阶段完赛的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队伍通过资格赛排序排定名次。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（四）判罚规则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以下情况直接判负：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超时未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准备、离操控区操控、不服从指挥致严重后果；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其他违规按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警告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-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判负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处理，以裁判判定为准。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二、室内</w:t>
      </w:r>
      <w:proofErr w:type="gramStart"/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筋动力飞机（小学组）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从航空模型分类来看，室内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筋动力飞机在动力类型上属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筋动力模型飞机，以手工缠绕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筋的弹性势能驱动螺旋桨，区别于电动、燃油等动力形式；飞行环境上归为室内模型飞机，适配封闭、低干扰的场景，飞行高度低且以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分钟级留空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为目标；竞赛用途上属留空时间竞赛模型，核心考核升力与动力利用效率，以飞行时间为成绩依据。</w:t>
      </w:r>
    </w:p>
    <w:p w:rsidR="007430B7" w:rsidRPr="000977DE" w:rsidRDefault="00F90AAC" w:rsidP="00AA2D63">
      <w:pPr>
        <w:numPr>
          <w:ilvl w:val="0"/>
          <w:numId w:val="2"/>
        </w:numPr>
        <w:adjustRightInd w:val="0"/>
        <w:snapToGrid w:val="0"/>
        <w:spacing w:line="540" w:lineRule="exact"/>
        <w:ind w:left="0"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技术要求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翼展不大于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毫米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翼弦不大于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毫米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不含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筋的模型重量不小于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6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克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橡筋加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润滑剂后的最大重量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克</w:t>
      </w:r>
    </w:p>
    <w:p w:rsidR="007430B7" w:rsidRPr="000977DE" w:rsidRDefault="00F90AAC" w:rsidP="00AA2D63">
      <w:pPr>
        <w:numPr>
          <w:ilvl w:val="0"/>
          <w:numId w:val="2"/>
        </w:numPr>
        <w:adjustRightInd w:val="0"/>
        <w:snapToGrid w:val="0"/>
        <w:spacing w:line="540" w:lineRule="exact"/>
        <w:ind w:left="0"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比赛方法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模型须经裁判员检验合格后方可统一开封制作。采用自审、集中审核、抽审和复审等方式对参赛模型进行审核。审核不合格者取消该项目参赛资格及成绩。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选手须在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分钟内于地面独立完成模型所有配件的安装、调整、绕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橡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筋、放飞及回收等工作，且不得进行带动力试飞。未在规定时间内完成的模型，不得用于</w:t>
      </w:r>
      <w:r w:rsidRPr="000977DE">
        <w:rPr>
          <w:rFonts w:ascii="Microsoft JhengHei" w:eastAsia="Microsoft JhengHei" w:hAnsi="Microsoft JhengHei" w:cs="Microsoft JhengHei" w:hint="eastAsia"/>
          <w:snapToGrid w:val="0"/>
          <w:color w:val="000000" w:themeColor="text1"/>
          <w:kern w:val="0"/>
          <w:sz w:val="32"/>
          <w:szCs w:val="32"/>
        </w:rPr>
        <w:t>⻜⾏⽐</w:t>
      </w:r>
      <w:r w:rsidRPr="000977DE"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赛。</w:t>
      </w:r>
    </w:p>
    <w:p w:rsidR="007430B7" w:rsidRPr="000977DE" w:rsidRDefault="00F90AAC" w:rsidP="00AA2D63">
      <w:pPr>
        <w:numPr>
          <w:ilvl w:val="0"/>
          <w:numId w:val="2"/>
        </w:numPr>
        <w:adjustRightInd w:val="0"/>
        <w:snapToGrid w:val="0"/>
        <w:spacing w:line="540" w:lineRule="exact"/>
        <w:ind w:left="0"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留空时间、名次排列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每轮均测定模型有效最大计时。自模型离手开始计时，模型第一次触地终止计时。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当轮比赛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时间到，即终止计时。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发</w:t>
      </w:r>
      <w:r w:rsidRPr="000977DE">
        <w:rPr>
          <w:rFonts w:ascii="Microsoft JhengHei" w:eastAsia="Microsoft JhengHei" w:hAnsi="Microsoft JhengHei" w:cs="Microsoft JhengHei" w:hint="eastAsia"/>
          <w:snapToGrid w:val="0"/>
          <w:color w:val="000000" w:themeColor="text1"/>
          <w:kern w:val="0"/>
          <w:sz w:val="32"/>
          <w:szCs w:val="32"/>
        </w:rPr>
        <w:t>⽣</w:t>
      </w:r>
      <w:r w:rsidRPr="000977DE"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以下情况时应停</w:t>
      </w:r>
      <w:r w:rsidRPr="000977DE">
        <w:rPr>
          <w:rFonts w:ascii="Microsoft JhengHei" w:eastAsia="Microsoft JhengHei" w:hAnsi="Microsoft JhengHei" w:cs="Microsoft JhengHei" w:hint="eastAsia"/>
          <w:snapToGrid w:val="0"/>
          <w:color w:val="000000" w:themeColor="text1"/>
          <w:kern w:val="0"/>
          <w:sz w:val="32"/>
          <w:szCs w:val="32"/>
        </w:rPr>
        <w:t>⽌</w:t>
      </w:r>
      <w:r w:rsidRPr="000977DE"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计时：模型碰到障碍物坠落触地时；模型在障碍物上停</w:t>
      </w:r>
      <w:r w:rsidRPr="000977DE">
        <w:rPr>
          <w:rFonts w:ascii="Microsoft JhengHei" w:eastAsia="Microsoft JhengHei" w:hAnsi="Microsoft JhengHei" w:cs="Microsoft JhengHei" w:hint="eastAsia"/>
          <w:snapToGrid w:val="0"/>
          <w:color w:val="000000" w:themeColor="text1"/>
          <w:kern w:val="0"/>
          <w:sz w:val="32"/>
          <w:szCs w:val="32"/>
        </w:rPr>
        <w:t>⽌</w:t>
      </w:r>
      <w:r w:rsidRPr="000977DE"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前进时；模型着陆前，参赛运动员、助</w:t>
      </w:r>
      <w:r w:rsidRPr="000977DE">
        <w:rPr>
          <w:rFonts w:ascii="Microsoft JhengHei" w:eastAsia="Microsoft JhengHei" w:hAnsi="Microsoft JhengHei" w:cs="Microsoft JhengHei" w:hint="eastAsia"/>
          <w:snapToGrid w:val="0"/>
          <w:color w:val="000000" w:themeColor="text1"/>
          <w:kern w:val="0"/>
          <w:sz w:val="32"/>
          <w:szCs w:val="32"/>
        </w:rPr>
        <w:t>⼿</w:t>
      </w:r>
      <w:r w:rsidRPr="000977DE"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或他</w:t>
      </w:r>
      <w:r w:rsidRPr="000977DE">
        <w:rPr>
          <w:rFonts w:ascii="Microsoft JhengHei" w:eastAsia="Microsoft JhengHei" w:hAnsi="Microsoft JhengHei" w:cs="Microsoft JhengHei" w:hint="eastAsia"/>
          <w:snapToGrid w:val="0"/>
          <w:color w:val="000000" w:themeColor="text1"/>
          <w:kern w:val="0"/>
          <w:sz w:val="32"/>
          <w:szCs w:val="32"/>
        </w:rPr>
        <w:t>⼈</w:t>
      </w:r>
      <w:r w:rsidRPr="000977DE"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触碰模型时。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比赛进行两轮。取飞行成绩高的一轮评定名次，飞行时间长者名次列前。如有成绩相同者按另一轮成绩名次列前。再同则名次并列。</w:t>
      </w:r>
    </w:p>
    <w:p w:rsidR="007430B7" w:rsidRPr="000977DE" w:rsidRDefault="00F90AAC" w:rsidP="00AA2D63">
      <w:pPr>
        <w:numPr>
          <w:ilvl w:val="0"/>
          <w:numId w:val="2"/>
        </w:numPr>
        <w:adjustRightInd w:val="0"/>
        <w:snapToGrid w:val="0"/>
        <w:spacing w:line="540" w:lineRule="exact"/>
        <w:ind w:left="0"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重飞定义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模型放飞后，和另一架飞行中的模型发生相碰，该次飞行可重新进行。如果模型以正常状态继续飞行，运动员有权要求将该次飞行作为一次正式飞行，这一要求也可在该次试飞终了时提出。模型着陆过程中和人员相碰，以和障碍物相碰论处。</w:t>
      </w:r>
    </w:p>
    <w:p w:rsidR="007430B7" w:rsidRPr="000977DE" w:rsidRDefault="00F90AAC" w:rsidP="00AA2D63">
      <w:pPr>
        <w:numPr>
          <w:ilvl w:val="0"/>
          <w:numId w:val="2"/>
        </w:numPr>
        <w:adjustRightInd w:val="0"/>
        <w:snapToGrid w:val="0"/>
        <w:spacing w:line="540" w:lineRule="exact"/>
        <w:ind w:left="0"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奖励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前三名为一等奖，参加总决赛，评选冠亚季军，由主办单位颁发获奖证书。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其他按照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评选一、二、三等奖，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由穗港澳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教育联盟颁发获奖证书。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三、科学种植（小学组、中学组）</w:t>
      </w:r>
    </w:p>
    <w:p w:rsidR="007430B7" w:rsidRPr="000977DE" w:rsidRDefault="00F90AAC" w:rsidP="00AA2D63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科学种植是指用先进的科学技术措施，按照自然规律和经济规律进行农业生产活动，使农产品高产、稳产、品质好、成本低，同时又不破坏农业环境，最终实现良性的农业循环。主要措施包括改良土壤，培养优良品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,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选用优质农肥、农药，改良农机具，改进农业技术，提高农业生产者的科学技术水平，以收到最好的经济效果。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人数要求：每队不超过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展示方式：以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科学种植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为主题，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展开学习、调查，录制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分钟的视频（可剪辑）进行展示，视频文档命名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学生姓名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+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学校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+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科学种植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18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日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12:00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前发送至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GZHKMOSTEM@163.com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评分标准：</w:t>
      </w:r>
    </w:p>
    <w:tbl>
      <w:tblPr>
        <w:tblStyle w:val="a6"/>
        <w:tblW w:w="880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28"/>
        <w:gridCol w:w="1551"/>
        <w:gridCol w:w="731"/>
        <w:gridCol w:w="993"/>
        <w:gridCol w:w="3110"/>
      </w:tblGrid>
      <w:tr w:rsidR="000977DE" w:rsidRPr="000977DE" w:rsidTr="00AA2D63">
        <w:trPr>
          <w:jc w:val="center"/>
        </w:trPr>
        <w:tc>
          <w:tcPr>
            <w:tcW w:w="988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1428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分钟内</w:t>
            </w:r>
          </w:p>
        </w:tc>
        <w:tc>
          <w:tcPr>
            <w:tcW w:w="1551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调研过程</w:t>
            </w:r>
          </w:p>
        </w:tc>
        <w:tc>
          <w:tcPr>
            <w:tcW w:w="731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PPT</w:t>
            </w:r>
          </w:p>
        </w:tc>
        <w:tc>
          <w:tcPr>
            <w:tcW w:w="993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讲解</w:t>
            </w:r>
          </w:p>
        </w:tc>
        <w:tc>
          <w:tcPr>
            <w:tcW w:w="3110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“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科学种植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”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发明制作</w:t>
            </w:r>
          </w:p>
        </w:tc>
      </w:tr>
      <w:tr w:rsidR="000977DE" w:rsidRPr="000977DE" w:rsidTr="00AA2D63">
        <w:trPr>
          <w:jc w:val="center"/>
        </w:trPr>
        <w:tc>
          <w:tcPr>
            <w:tcW w:w="988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分数</w:t>
            </w:r>
          </w:p>
        </w:tc>
        <w:tc>
          <w:tcPr>
            <w:tcW w:w="1428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551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731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3110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</w:tr>
    </w:tbl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奖励：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前三名为一等奖，参加总决赛，评选冠亚季军，由主办单位颁发获奖证书。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其他按照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10%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评选一、二、三等奖，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由穗港澳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教育联盟颁发获奖证书。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四、</w:t>
      </w:r>
      <w:proofErr w:type="gramStart"/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绿建未来</w:t>
      </w:r>
      <w:proofErr w:type="gramEnd"/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（中学组）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（一）知识背景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森林碳汇（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Forest Carbon Sinks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）是指森林植物吸收大气中的二氧化碳并将其固定在植被或土壤中，从而减少该气体在大气中的浓度，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森林碳汇是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目前世界上最为经济的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碳吸收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手段。以造林和再造林为核心的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碳汇项目是清洁发展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机制的一个重要组成部分。我国政府十分重视林业碳汇，建立健全以国家温室气体自愿减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排交易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机制为基础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的碳排放权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抵消机制，将具有生态、社会等多种效益的林业温室气体自愿减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排项目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优先纳入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全国碳排放权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交易市场，充分发挥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碳市场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在生态建设、修复和保护中的补偿作用。引导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碳交易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履约企业和对口帮扶单位优先购买贫困地区林业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碳汇项目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产生的减排量。鼓励通过碳中和、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碳普惠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等形式支持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林业碳汇发展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海洋碳汇是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指一定时间周期内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海洋储碳的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能力或容量。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海洋储碳的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形式包括无机的、有机的、颗粒的、溶解的碳等各种形态。世界大洋中惰性溶解有机碳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RDOC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的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储碳量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大约是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6500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亿吨，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储碳周期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约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5000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年，它们与大气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CO2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的碳量相当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，其数量变动直接影响到全球气候变化。地球上超过一半的生物碳和绿色碳是由海洋生物（浮游生物、细菌、海草、盐沼植物和红树林）捕获的，单位海域中生物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固碳量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是森林的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倍，是草原的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290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倍。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（二）场地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场地是由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4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种类型的区域组成，分为道路、红方森林碳汇、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海洋碳汇与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蓝方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森林碳汇四种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，其中每队森林碳储量资源包为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个，海洋碳储量资源包为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个，其余空白位置均为道路。</w:t>
      </w:r>
    </w:p>
    <w:p w:rsidR="007430B7" w:rsidRPr="000977DE" w:rsidRDefault="00F90AAC" w:rsidP="00AA2D63">
      <w:pPr>
        <w:pStyle w:val="a3"/>
        <w:adjustRightInd w:val="0"/>
        <w:snapToGrid w:val="0"/>
        <w:jc w:val="center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0"/>
          <w:sz w:val="32"/>
          <w:szCs w:val="32"/>
          <w:lang w:eastAsia="zh-CN"/>
        </w:rPr>
        <w:drawing>
          <wp:inline distT="0" distB="0" distL="114300" distR="114300" wp14:anchorId="3CE04074" wp14:editId="021586C6">
            <wp:extent cx="5278120" cy="2611120"/>
            <wp:effectExtent l="0" t="0" r="635" b="127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启动区是各方队伍放置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己方储碳机器人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的起始位置。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分拣区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是各方队伍放置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分拣后碳储量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资源包的固定位置，分拣机器人不可离开该区域。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碳储量资源包为特定尺寸的小球。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（三）机器人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每个队伍需要制作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台智能搬运小车（一台负责获取碳储量资源包，一台负责分拣），需要远程控制进行夹取与分拣。小学组可用套件，中学组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不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可用套件。</w:t>
      </w: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5210"/>
      </w:tblGrid>
      <w:tr w:rsidR="000977DE" w:rsidRPr="000977DE" w:rsidTr="00AA2D63">
        <w:trPr>
          <w:trHeight w:val="600"/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智能搬运小车（</w:t>
            </w:r>
            <w:proofErr w:type="gram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分为取矿与</w:t>
            </w:r>
            <w:proofErr w:type="gramEnd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分拣）</w:t>
            </w:r>
          </w:p>
        </w:tc>
      </w:tr>
      <w:tr w:rsidR="000977DE" w:rsidRPr="000977DE" w:rsidTr="00AA2D63">
        <w:trPr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操控类型</w:t>
            </w:r>
            <w:proofErr w:type="spellEnd"/>
          </w:p>
        </w:tc>
        <w:tc>
          <w:tcPr>
            <w:tcW w:w="5210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ind w:hanging="1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可全手动遥控，也可编写算法实现全自动或半自动</w:t>
            </w:r>
          </w:p>
        </w:tc>
      </w:tr>
      <w:tr w:rsidR="000977DE" w:rsidRPr="000977DE" w:rsidTr="00AA2D63">
        <w:trPr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最大尺寸（长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×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宽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×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高）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500×500×500</w:t>
            </w:r>
          </w:p>
        </w:tc>
      </w:tr>
      <w:tr w:rsidR="000977DE" w:rsidRPr="000977DE" w:rsidTr="00AA2D63">
        <w:trPr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限制范围</w:t>
            </w:r>
            <w:proofErr w:type="spellEnd"/>
          </w:p>
        </w:tc>
        <w:tc>
          <w:tcPr>
            <w:tcW w:w="5210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水平地面上的正投影不得进入对方区域</w:t>
            </w:r>
          </w:p>
        </w:tc>
      </w:tr>
      <w:tr w:rsidR="000977DE" w:rsidRPr="000977DE" w:rsidTr="00AA2D63">
        <w:trPr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ind w:firstLine="14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能同时搬运的碳储量资源</w:t>
            </w:r>
            <w:proofErr w:type="gram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包数量</w:t>
            </w:r>
            <w:proofErr w:type="gramEnd"/>
          </w:p>
        </w:tc>
        <w:tc>
          <w:tcPr>
            <w:tcW w:w="5210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0977DE" w:rsidRPr="000977DE" w:rsidTr="00AA2D63">
        <w:trPr>
          <w:jc w:val="center"/>
        </w:trPr>
        <w:tc>
          <w:tcPr>
            <w:tcW w:w="3449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proofErr w:type="spell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供电</w:t>
            </w:r>
            <w:proofErr w:type="spellEnd"/>
          </w:p>
        </w:tc>
        <w:tc>
          <w:tcPr>
            <w:tcW w:w="5210" w:type="dxa"/>
            <w:shd w:val="clear" w:color="auto" w:fill="auto"/>
            <w:vAlign w:val="center"/>
          </w:tcPr>
          <w:p w:rsidR="007430B7" w:rsidRPr="000977DE" w:rsidRDefault="00F90AAC" w:rsidP="00AA2D63">
            <w:pPr>
              <w:pStyle w:val="TableText"/>
              <w:adjustRightInd w:val="0"/>
              <w:snapToGrid w:val="0"/>
              <w:spacing w:line="460" w:lineRule="exact"/>
              <w:ind w:hanging="38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供电电压小于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25V</w:t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，尽量</w:t>
            </w:r>
            <w:proofErr w:type="gram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使用赛</w:t>
            </w:r>
            <w:proofErr w:type="gramEnd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  <w:lang w:eastAsia="zh-CN"/>
              </w:rPr>
              <w:t>方限定提供的电池</w:t>
            </w:r>
          </w:p>
        </w:tc>
      </w:tr>
    </w:tbl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（四）规则描述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每局比赛将会由红色和蓝色两方进行对局。场上有位置固定的碳储量资源包，分为红方森林碳汇、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海洋碳汇与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蓝方碳汇，每个区域装有数量不一的碳储量资源包，装有不同颜色的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种碳储量资源包。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场地分为两方区域和中间的公共区域，每队的智能搬运小车不能进入对方区域。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赛前会给出文档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资源清单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碳储量比例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，其中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资源清单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按每个资源包的编号给出其装载的各种碳储量的数量。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碳储量比例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给出了目标碳储量含碳比例。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比赛开始后，取碳储量智能搬运小车需根据提前给出的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资源清单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碳储量比例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信息，自主规划采集目标和路线。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其中，取用己方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队资源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区中的资源没有限制，但是公共矿区的资源需要先采集完己方矿区才能去采集。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取碳储量资源包智能搬运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小车将碳储量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资源包运输到分拣区，在比赛结束前，分拣机器人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需要将碳储量资源包按种类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进行分堆放入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分拣区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中的特定区域，作为原料库。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比赛结束后，将对分出的碳储量资源包按照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碳储量比例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进行统计，每能合成出一单位碳储量，则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计相应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一单位碳储量的分数。若完全分拣后仍有剩余或未分类的碳储量资源包，则将剩余碳储量资源包按照未获取处理，按照数量从得分中扣除废物排放处理数量。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（五）采矿机制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取碳储量资源包智能搬运小车可以搬运场地上的碳储量资源包，同一时间能搬运的碳储量资源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包最多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为一个。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搬运己方矿区中的碳储量资源包时，没有取用限制。取用己方队伍矿区中的资源没有限制，但是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海洋碳汇的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碳储量资源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包需要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先采集完己方矿区才能去采集。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不允许取碳储量资源包智能搬运小车进入对方半场，不允许通过任何形式使任意碳储量资源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包进入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对方半场，干扰对方行动。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比赛结束后，对原料库的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统计按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以下规则计分：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碳储量：对于原料库中的碳储量资源包按照每队的碳储量比例进行抽取，直至无法凑出一单位碳储量为止。抽出的碳储量资源包记为碳储量原料，一颗计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+80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碳储量的最小抽取量取整数，不为小数，例如对于比例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，碳储量数量为【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3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】时。继续提取，那么只能提取出【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】一单位合金，剩余碳储量【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】。而不能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提取【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1.5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】，剩余【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0.5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】。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杂质：对于原料库中取完合金的剩余碳储量，则记为杂质，需要缴纳排废处理费用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,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一颗计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-20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污染物：不在原料库区域中的碳储量资源包，则记为排废物，视排废来源，对相应队伍一颗计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-10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没有完全停在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森林碳汇和海洋碳汇中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的碳储量资源包、分拣机器人中未完成分拣的碳储量资源包、运输或交接过程中洒落的碳储量资源包、出界的碳储量资源包、被打翻的碳储量资源包，均属于排废物。不允许以道路上的资源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包位置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为起点运回分拣区。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比赛结束时，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某碳储量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资源包为污染物，则首先导致该碳储量资源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包最后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一次进入排废物状态的队伍记为该排废物的来源。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若双方在争夺海洋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碳汇资源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时发生洒落或出界现象，则这些碳储量资源包同时记为双方的排废物。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最终得分还会减去判罚扣分，最终得分不设上下限。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（六）场地交换与胜负判定机制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由碳储量资源包的摆放和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储碳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量比例不对称，单次比赛会有不公平性。为了尽量保证公平，每局比赛分为上半场和下半场。半场轮换时双方互换场地和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合金比例，但是场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上的碳储量资源包摆放不变。即下半场时双方以上半场时对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方的状态再次对局。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上下半场均完成后，将每队上下半场的得分相加，得分高者获得本局比赛的胜利。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（七）比赛流程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比赛开始前阶段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场地重置：生成资源清单并按此重新布置碳储量资源。智能搬运小车检录：对智能搬运小车进行检录，测试。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准备阶段（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2min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28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  <w:lang w:eastAsia="zh-CN"/>
        </w:rPr>
        <w:t>参赛队将智能搬运小车搬入对应启动区中。发放《资源清单》和《储碳量比例》文档（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  <w:lang w:eastAsia="zh-CN"/>
        </w:rPr>
        <w:t xml:space="preserve">TXT/Excel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  <w:lang w:eastAsia="zh-CN"/>
        </w:rPr>
        <w:t>格式），参赛队据此修改程序。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上半场比赛阶段（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4min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）双方按照规则要求进行对局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4.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下半场准备阶段（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3min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）统计双方得分，重置碳储量资源包，交换场地，修改程序。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5.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下半场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比赛阶段（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4min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）双方再次对局。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6.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计分阶段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统计下半场得分，按照上下半场的总分判定胜负。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7.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违规与判罚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）违规分为口头警告、黄牌、红牌。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28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  <w:lang w:eastAsia="zh-CN"/>
        </w:rPr>
        <w:t>一些行为会先进行口头警告，警告无效后会升级为黄牌或红牌。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罚黄牌时，每张黄牌记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-20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得分。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罚红牌时，当局比赛终止，被罚方判负。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R1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智能搬运小车一次搬运了超过一个资源包。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判罚：裁判判断行为是否为有意、是否干扰到对方或对己方产生优势，如果是则当场比赛判负。若此行为持续超过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5s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或短时间内重复进行，也进行判负。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R2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智能搬运小车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驶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出场地：小车在地面上的正投影完全离开场地。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判罚：口头警告，队员可在场边对机器人进行复位，每支队伍有每场比赛有两次机会复位机器人，若机器人第三次冲出场地，则当场比赛判负。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4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）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R3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智能搬运小车进入对方场地：智能搬运小车在地面上的正投影的任意部分越过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海洋碳汇和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对方半场的分界线，正在搬运的资源包不记作机器人的一部分。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判罚：裁判判断行为是否为有意、是否干扰到对方或对己方产生优势，如果是则当场比赛判负。若此行为持续超过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10s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或短时间内重复进行，也进行判负。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（八）奖励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前三名为一等奖，参加总决赛，评选冠亚季军，由主办单位颁发获奖证书。</w:t>
      </w:r>
    </w:p>
    <w:p w:rsidR="007430B7" w:rsidRPr="000977DE" w:rsidRDefault="00F90AAC" w:rsidP="00AA2D63">
      <w:pPr>
        <w:pStyle w:val="a3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其他按照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 xml:space="preserve"> 10%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20%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30%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评选一、二、三等奖，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由穗港澳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eastAsia="zh-CN"/>
        </w:rPr>
        <w:t>教育联盟颁发获奖证书。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五、水底机器人（中学组）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本项比赛为计时障碍赛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,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旨在考验队伍设计与操作水底机器人的机动性</w:t>
      </w:r>
      <w:r w:rsidRPr="000977DE"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0"/>
          <w:sz w:val="32"/>
          <w:szCs w:val="32"/>
        </w:rPr>
        <w:drawing>
          <wp:inline distT="0" distB="0" distL="0" distR="0" wp14:anchorId="0EE00B3C" wp14:editId="441BC435">
            <wp:extent cx="43815" cy="41910"/>
            <wp:effectExtent l="0" t="0" r="13335" b="1524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80" cy="4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稳定性和效率。参赛队伍需操控其水底机器人在最短时间内完成规定的障碍路线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·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比赛最终排名以队伍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最佳单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次完成时间为准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,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用时最短者获胜。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（一）水底机器人规格要求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所有参赛队伍的水底机器人必须符合以下规范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,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方可通过检录并参赛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: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动力与马达：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必须使用标准套件的马达作为推进动力，所有马达必须进行防水处理。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仅允许使用最多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个马达用于推进。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参赛队伍自行准备不超过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12V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的独立电源供电。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框架与材料：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机体框架必须仅使用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PVC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CPVC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或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PEX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管材及接头建造。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允许使用手动或电动工具对管材进行修改，但禁止使用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CNC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或任何自动化机械加工。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非框架的任务附件（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如夹爪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、挂钩、推进器护罩）可使用其他材料（包括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3D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打印件）、但主体结构必须为管材。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控制器与电路：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用于控制推进马达（前进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/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后退）的必须是简单的开关。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允许使用微控制器、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PWM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（脉冲宽度调制）或其它装置来控制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非推进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功能（如抓爪、灯光）。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允许使用固定或可变电阻来降低电压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安全规范：</w:t>
      </w:r>
    </w:p>
    <w:p w:rsidR="000977DE" w:rsidRPr="000977DE" w:rsidRDefault="000977DE" w:rsidP="000977D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</w:pP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控制器、水底机器人本体及电线不得有任何裸露的带电金属部分。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电源线上的鳄鱼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夹必须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有绝缘护套。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机体不得有尖锐或其它可能造成危险的部件。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电线必须牢固地固定在水底机器人上，所有零件不得在比赛中松脱。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尺寸规范：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水底机器人必须能通过直径为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46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厘米的圆环。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6.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人数要求：每队不超过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（二）场地说明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场地设置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障碍赛道将悬挂于泳道线下，距离水面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米沈，距离池边约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1.5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米。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赛道由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个直径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46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厘米的圆环组成，每个圆环以不同角度悬挂。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起点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/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终点区设有一个浮于水面的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水面载具框架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（由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PVC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管制成），水底机器人必须从该框架内出发并返回。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队伍区域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每队将分配一条专用赛道。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经允许最多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名队员进入比赛区（池边），其中仅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名队员可同时操作水底机器人。</w:t>
      </w:r>
    </w:p>
    <w:p w:rsidR="007430B7" w:rsidRPr="000977DE" w:rsidRDefault="00F90AAC" w:rsidP="00AA2D6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其余队员与指导老师须在后方指定管赛区等候。</w:t>
      </w:r>
    </w:p>
    <w:p w:rsidR="007430B7" w:rsidRPr="000977DE" w:rsidRDefault="00F90AAC" w:rsidP="00AA2D63">
      <w:pPr>
        <w:adjustRightInd w:val="0"/>
        <w:snapToGrid w:val="0"/>
        <w:jc w:val="center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0"/>
          <w:sz w:val="32"/>
          <w:szCs w:val="32"/>
        </w:rPr>
        <w:drawing>
          <wp:inline distT="0" distB="0" distL="114300" distR="114300" wp14:anchorId="7842F3B3" wp14:editId="3B8C210C">
            <wp:extent cx="4256405" cy="378523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场地设置（未包括水面载具）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（三）比赛规则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比赛时间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28"/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每队有总计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8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分钟的比赛时间（含准备、调试和所有挑战时间）。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计时从裁判示意开始启动，时间到必须立即停止所有操作。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挑战次数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在总时间内，每队最多可进行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次正式计时挑战。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每次挑战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的时间限制为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分钟。若超出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分钟未完成，该次挑战结束，以当下完成状态计分（通常为未完成）。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比赛流程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开始：水底机器人必须在水面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载具区域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内，其任意部分必须浮出水面。裁判开始计时后，队员不得再触碰水底机器人。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穿越圆环：水底机器人必须从最靠近池壁的环开始，一次穿越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个圆环。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折返：穿过第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个圆环（最远的圆环）后，水底机器人必须浮出水面（任何部分突破水面即可），然后重新下潜。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返回：水底机器人必须按反向顺序（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3→2→1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）在此穿越所有圆环。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结束：水底机器人必须返回并浮出水面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载具范围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内，该次挑战即完成。</w:t>
      </w:r>
    </w:p>
    <w:p w:rsidR="00772A59" w:rsidRPr="000977DE" w:rsidRDefault="00F90AAC" w:rsidP="00AA2D63">
      <w:pPr>
        <w:adjustRightInd w:val="0"/>
        <w:snapToGrid w:val="0"/>
        <w:jc w:val="center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0"/>
          <w:sz w:val="32"/>
          <w:szCs w:val="32"/>
        </w:rPr>
        <w:drawing>
          <wp:inline distT="0" distB="0" distL="114300" distR="114300" wp14:anchorId="09DCAF7E" wp14:editId="724517FD">
            <wp:extent cx="5071745" cy="21196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b="11294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B7" w:rsidRPr="000977DE" w:rsidRDefault="00F90AAC" w:rsidP="00AA2D63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水底无人机穿越圆环</w:t>
      </w:r>
    </w:p>
    <w:p w:rsidR="007430B7" w:rsidRPr="000977DE" w:rsidRDefault="00F90AAC" w:rsidP="00AA2D63">
      <w:pPr>
        <w:adjustRightInd w:val="0"/>
        <w:snapToGrid w:val="0"/>
        <w:jc w:val="center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noProof/>
          <w:snapToGrid w:val="0"/>
          <w:color w:val="000000" w:themeColor="text1"/>
          <w:kern w:val="0"/>
          <w:sz w:val="32"/>
          <w:szCs w:val="32"/>
        </w:rPr>
        <w:drawing>
          <wp:inline distT="0" distB="0" distL="114300" distR="114300" wp14:anchorId="5FB62CFC" wp14:editId="6AE8A4EC">
            <wp:extent cx="5184775" cy="1374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b="17310"/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0B7" w:rsidRPr="000977DE" w:rsidRDefault="00F90AAC" w:rsidP="00AA2D63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未浮出水面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               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已浮出水面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犯规与处理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电线牵引：严禁通过拉扯电线来移动水底机器人。若水底机器人被缠住，队员可向裁判申请轻轻拉回，但必须将水底机器人自行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驾驶回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原来位置才能继续，且计时不停止。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潜水员协助：若水底机器人完全卡住，可向裁判申请潜水员协助。此时计时暂停，潜水员协助后，水底机器人必须放回原位置，计时再继续。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物件脱落：比赛中从水底机器人上脱落的零件，不得由队员或潜水员捡回。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排名依据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以队员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最佳单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次挑战的完成时间进行排名，时间短者胜出。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若队员未能完成赛道，则以成果穿过的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圆环数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作为排名依据（穿过圆环数多者胜出）。</w:t>
      </w:r>
    </w:p>
    <w:p w:rsidR="007430B7" w:rsidRPr="000977DE" w:rsidRDefault="00F90AAC" w:rsidP="00AA2D63">
      <w:pPr>
        <w:numPr>
          <w:ilvl w:val="0"/>
          <w:numId w:val="3"/>
        </w:numPr>
        <w:adjustRightInd w:val="0"/>
        <w:snapToGrid w:val="0"/>
        <w:spacing w:line="530" w:lineRule="exact"/>
        <w:ind w:left="0"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队伍操作流程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检录及安全检查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赛前，所有水底机器人必须送至检录处，由裁判检查是否符合机体规格要求。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通过检录后，水底机器人会被做上标记。一旦通过检录，除调整浮力材料外，不得更换或添加任何零件。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报到与准备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听到广播后，队伍可携带已通过检录的水底机器人至指定赛道旁准备。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队员可进行最后的浮力调整、设备检查等准备工作。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开始比赛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裁判确认队伍身份并讲解规则后，询问队伍是否准备好。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队伍准备好后，裁判启动总时间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8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分钟的计时器。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28"/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队伍可自行决定任何时间开始第一次挑战。当水底机器人就位于水面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载具内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时，告知裁判，裁判会启动单次挑战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分钟的秒表。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进行调整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队伍操作水底机器人完成计时障碍赛。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若一次挑战结束（无论成功、失败或弃权），队伍可立即利用剩余的总时间进行调整、维修，并准备下一次挑战。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5.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结束比赛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总时间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8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分钟用完，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或队伍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主动宣布不再进行挑战，该队的比赛即结束。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（六）奖励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前三名为一等奖，参加总决赛，评选冠亚季军，由主办单位颁发获奖证书。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其他按照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10%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评选一、二、三等奖，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由穗港澳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教育联盟颁发获奖证书。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黑体" w:hAnsi="Times New Roman" w:cs="Times New Roman"/>
          <w:snapToGrid w:val="0"/>
          <w:color w:val="000000" w:themeColor="text1"/>
          <w:kern w:val="0"/>
          <w:sz w:val="32"/>
          <w:szCs w:val="32"/>
        </w:rPr>
        <w:t>六、飞行汽车造型设计（小学组、中学组）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（一）主题：跨域创想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·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飞享湾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区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（二）穗港澳三地小学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4-6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年级（小学组）、初中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1-3 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年级（中学组），接受个人或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2-3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人团队报名，每队配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名指导教师。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（三）作品提交规范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设计图纸，手绘或软件制作均可，如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AI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设计需标注出处。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A3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幅面大小［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420x297mm]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JPEG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格式且分辨率不低于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300DPI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，排版形式横向排版。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文字说明：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200-500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字，包含但不限于设计理念、文化元素、技术参照。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将设计图纸及文字说明打包文件夹，命名为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“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学生姓名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+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学校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+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飞行汽车造型设计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”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，于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11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月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18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日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12:00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前发送至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GZHKMOSTEM@163.com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（四）评分标准</w:t>
      </w:r>
    </w:p>
    <w:tbl>
      <w:tblPr>
        <w:tblStyle w:val="a6"/>
        <w:tblW w:w="8659" w:type="dxa"/>
        <w:jc w:val="center"/>
        <w:tblLook w:val="04A0" w:firstRow="1" w:lastRow="0" w:firstColumn="1" w:lastColumn="0" w:noHBand="0" w:noVBand="1"/>
      </w:tblPr>
      <w:tblGrid>
        <w:gridCol w:w="1172"/>
        <w:gridCol w:w="1814"/>
        <w:gridCol w:w="1814"/>
        <w:gridCol w:w="3859"/>
      </w:tblGrid>
      <w:tr w:rsidR="000977DE" w:rsidRPr="000977DE" w:rsidTr="00AA2D63">
        <w:trPr>
          <w:jc w:val="center"/>
        </w:trPr>
        <w:tc>
          <w:tcPr>
            <w:tcW w:w="1172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维度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小学组权重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中学组权重</w:t>
            </w:r>
          </w:p>
        </w:tc>
        <w:tc>
          <w:tcPr>
            <w:tcW w:w="3859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评审要求点</w:t>
            </w:r>
          </w:p>
        </w:tc>
      </w:tr>
      <w:tr w:rsidR="000977DE" w:rsidRPr="000977DE" w:rsidTr="00AA2D63">
        <w:trPr>
          <w:jc w:val="center"/>
        </w:trPr>
        <w:tc>
          <w:tcPr>
            <w:tcW w:w="1172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创意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40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3859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符合主题</w:t>
            </w:r>
          </w:p>
        </w:tc>
      </w:tr>
      <w:tr w:rsidR="000977DE" w:rsidRPr="000977DE" w:rsidTr="00AA2D63">
        <w:trPr>
          <w:jc w:val="center"/>
        </w:trPr>
        <w:tc>
          <w:tcPr>
            <w:tcW w:w="1172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科学性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35</w:t>
            </w:r>
          </w:p>
        </w:tc>
        <w:tc>
          <w:tcPr>
            <w:tcW w:w="3859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符合基本飞行原理，初中组需要说明功能可行性（参照标准）</w:t>
            </w:r>
          </w:p>
        </w:tc>
      </w:tr>
      <w:tr w:rsidR="000977DE" w:rsidRPr="000977DE" w:rsidTr="00AA2D63">
        <w:trPr>
          <w:jc w:val="center"/>
        </w:trPr>
        <w:tc>
          <w:tcPr>
            <w:tcW w:w="1172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表现力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30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  <w:tc>
          <w:tcPr>
            <w:tcW w:w="3859" w:type="dxa"/>
            <w:vAlign w:val="center"/>
          </w:tcPr>
          <w:p w:rsidR="00AA2D63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图纸清晰度高，如有模型、</w:t>
            </w:r>
          </w:p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视频讲解可加分</w:t>
            </w:r>
          </w:p>
        </w:tc>
      </w:tr>
      <w:tr w:rsidR="000977DE" w:rsidRPr="000977DE" w:rsidTr="00AA2D63">
        <w:trPr>
          <w:jc w:val="center"/>
        </w:trPr>
        <w:tc>
          <w:tcPr>
            <w:tcW w:w="1172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功能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814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3859" w:type="dxa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28"/>
              </w:rPr>
              <w:t>新增功能</w:t>
            </w:r>
          </w:p>
        </w:tc>
      </w:tr>
    </w:tbl>
    <w:bookmarkEnd w:id="0"/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（五）奖项与激励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前三名评选冠亚季军，由主办单位颁发获奖证书。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其他按照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 xml:space="preserve"> 10%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、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30%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评选一、二、三等奖，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由穗港澳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教育联盟颁发获奖证书。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3.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特色奖项，</w:t>
      </w:r>
      <w:proofErr w:type="gramStart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由穗港澳</w:t>
      </w:r>
      <w:proofErr w:type="gramEnd"/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STEM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教育联盟颁发获奖证书：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28"/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spacing w:val="-3"/>
          <w:kern w:val="0"/>
          <w:sz w:val="32"/>
          <w:szCs w:val="32"/>
        </w:rPr>
        <w:t>最佳创意奖：表彰文化元素运用最佳的作品，颁发证书及文创；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未来技术奖：由企业评审团评选技术可行性最高的方案，颁发证书及文创。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（六）其他说明</w:t>
      </w:r>
    </w:p>
    <w:p w:rsidR="00772A59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1.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不得抄袭、剽窃他人成果，保证不侵犯任何第三方知识产权或其他权利，对所提交的作品负全部责任。参赛作品不得一稿多投。如有侵犯他人版权、一稿多投等行为发生，一经发现一律取消参赛资格和所获奖项，并向参赛者所在单位通报。</w:t>
      </w:r>
    </w:p>
    <w:p w:rsidR="007430B7" w:rsidRPr="000977DE" w:rsidRDefault="00F90AAC" w:rsidP="00AA2D63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2.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作品数量限制条件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br/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同一参赛者参与的参赛作品不得超过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2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件。团队参赛的，同一件作品只填报一次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(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注意：获奖证书上的作者、指导教师的姓名和顺序将按照报名的填报信息确定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)</w:t>
      </w:r>
      <w:r w:rsidRPr="000977DE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7430B7" w:rsidRPr="000977DE" w:rsidRDefault="00F90AAC" w:rsidP="000977DE">
      <w:pPr>
        <w:adjustRightInd w:val="0"/>
        <w:snapToGrid w:val="0"/>
        <w:spacing w:line="560" w:lineRule="exact"/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</w:pPr>
      <w:r w:rsidRPr="000977DE">
        <w:rPr>
          <w:rFonts w:ascii="黑体" w:eastAsia="黑体" w:hAnsi="黑体" w:cs="Times New Roman"/>
          <w:snapToGrid w:val="0"/>
          <w:color w:val="000000" w:themeColor="text1"/>
          <w:kern w:val="0"/>
          <w:sz w:val="32"/>
          <w:szCs w:val="32"/>
        </w:rPr>
        <w:t>附件2</w:t>
      </w:r>
    </w:p>
    <w:p w:rsidR="007430B7" w:rsidRPr="000977DE" w:rsidRDefault="007430B7" w:rsidP="000977DE">
      <w:pPr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napToGrid w:val="0"/>
          <w:color w:val="000000" w:themeColor="text1"/>
          <w:kern w:val="0"/>
          <w:sz w:val="44"/>
          <w:szCs w:val="44"/>
        </w:rPr>
      </w:pPr>
    </w:p>
    <w:p w:rsidR="007430B7" w:rsidRPr="000977DE" w:rsidRDefault="00F90AAC" w:rsidP="000977D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 w:themeColor="text1"/>
          <w:kern w:val="0"/>
          <w:sz w:val="44"/>
          <w:szCs w:val="44"/>
        </w:rPr>
      </w:pPr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2025年穗港澳科学教育教研</w:t>
      </w:r>
      <w:proofErr w:type="gramStart"/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暨学生</w:t>
      </w:r>
      <w:proofErr w:type="gramEnd"/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科技</w:t>
      </w:r>
    </w:p>
    <w:p w:rsidR="007430B7" w:rsidRPr="000977DE" w:rsidRDefault="00F90AAC" w:rsidP="000977DE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snapToGrid w:val="0"/>
          <w:color w:val="000000" w:themeColor="text1"/>
          <w:kern w:val="0"/>
          <w:sz w:val="44"/>
          <w:szCs w:val="44"/>
        </w:rPr>
      </w:pPr>
      <w:r w:rsidRPr="000977DE">
        <w:rPr>
          <w:rFonts w:ascii="方正小标宋_GBK" w:eastAsia="方正小标宋_GBK" w:hAnsi="Times New Roman" w:cs="Times New Roman" w:hint="eastAsia"/>
          <w:snapToGrid w:val="0"/>
          <w:color w:val="000000" w:themeColor="text1"/>
          <w:kern w:val="0"/>
          <w:sz w:val="44"/>
          <w:szCs w:val="44"/>
        </w:rPr>
        <w:t>交流活动报名表</w:t>
      </w:r>
    </w:p>
    <w:tbl>
      <w:tblPr>
        <w:tblStyle w:val="a6"/>
        <w:tblW w:w="8981" w:type="dxa"/>
        <w:jc w:val="center"/>
        <w:tblLook w:val="04A0" w:firstRow="1" w:lastRow="0" w:firstColumn="1" w:lastColumn="0" w:noHBand="0" w:noVBand="1"/>
      </w:tblPr>
      <w:tblGrid>
        <w:gridCol w:w="1348"/>
        <w:gridCol w:w="1349"/>
        <w:gridCol w:w="789"/>
        <w:gridCol w:w="584"/>
        <w:gridCol w:w="199"/>
        <w:gridCol w:w="142"/>
        <w:gridCol w:w="641"/>
        <w:gridCol w:w="392"/>
        <w:gridCol w:w="391"/>
        <w:gridCol w:w="786"/>
        <w:gridCol w:w="75"/>
        <w:gridCol w:w="120"/>
        <w:gridCol w:w="588"/>
        <w:gridCol w:w="783"/>
        <w:gridCol w:w="794"/>
      </w:tblGrid>
      <w:tr w:rsidR="000977DE" w:rsidRPr="000977DE" w:rsidTr="00772A59">
        <w:trPr>
          <w:jc w:val="center"/>
        </w:trPr>
        <w:tc>
          <w:tcPr>
            <w:tcW w:w="2839" w:type="dxa"/>
            <w:gridSpan w:val="2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单位名称（盖公章）</w:t>
            </w:r>
          </w:p>
        </w:tc>
        <w:tc>
          <w:tcPr>
            <w:tcW w:w="6510" w:type="dxa"/>
            <w:gridSpan w:val="13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联系人</w:t>
            </w:r>
          </w:p>
        </w:tc>
        <w:tc>
          <w:tcPr>
            <w:tcW w:w="1420" w:type="dxa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gridSpan w:val="2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联系电话</w:t>
            </w:r>
          </w:p>
        </w:tc>
        <w:tc>
          <w:tcPr>
            <w:tcW w:w="1421" w:type="dxa"/>
            <w:gridSpan w:val="4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1" w:type="dxa"/>
            <w:gridSpan w:val="4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联系邮箱</w:t>
            </w:r>
          </w:p>
        </w:tc>
        <w:tc>
          <w:tcPr>
            <w:tcW w:w="2248" w:type="dxa"/>
            <w:gridSpan w:val="3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联系地址</w:t>
            </w:r>
          </w:p>
        </w:tc>
        <w:tc>
          <w:tcPr>
            <w:tcW w:w="7930" w:type="dxa"/>
            <w:gridSpan w:val="14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  <w:vMerge w:val="restart"/>
            <w:vAlign w:val="center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报名项目</w:t>
            </w:r>
          </w:p>
        </w:tc>
        <w:tc>
          <w:tcPr>
            <w:tcW w:w="7930" w:type="dxa"/>
            <w:gridSpan w:val="14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sym w:font="Wingdings" w:char="00A8"/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穗港澳科学教师科学教育教研活动</w:t>
            </w: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教师姓名</w:t>
            </w:r>
          </w:p>
        </w:tc>
        <w:tc>
          <w:tcPr>
            <w:tcW w:w="1770" w:type="dxa"/>
            <w:gridSpan w:val="4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学科</w:t>
            </w:r>
          </w:p>
        </w:tc>
        <w:tc>
          <w:tcPr>
            <w:tcW w:w="2370" w:type="dxa"/>
            <w:gridSpan w:val="5"/>
            <w:shd w:val="clear" w:color="auto" w:fill="auto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职务</w:t>
            </w:r>
          </w:p>
        </w:tc>
        <w:tc>
          <w:tcPr>
            <w:tcW w:w="2370" w:type="dxa"/>
            <w:gridSpan w:val="4"/>
            <w:shd w:val="clear" w:color="auto" w:fill="auto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联系电话</w:t>
            </w: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770" w:type="dxa"/>
            <w:gridSpan w:val="4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2370" w:type="dxa"/>
            <w:gridSpan w:val="5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770" w:type="dxa"/>
            <w:gridSpan w:val="4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2370" w:type="dxa"/>
            <w:gridSpan w:val="5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772A59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7930" w:type="dxa"/>
            <w:gridSpan w:val="14"/>
          </w:tcPr>
          <w:p w:rsidR="007430B7" w:rsidRPr="000977DE" w:rsidRDefault="00F90AAC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sym w:font="Wingdings" w:char="00A8"/>
            </w: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穗港澳学生科技交流活动</w:t>
            </w: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学生姓名</w:t>
            </w:r>
          </w:p>
        </w:tc>
        <w:tc>
          <w:tcPr>
            <w:tcW w:w="813" w:type="dxa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组别</w:t>
            </w: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空中足球</w:t>
            </w: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室内</w:t>
            </w:r>
            <w:proofErr w:type="gram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橡</w:t>
            </w:r>
            <w:proofErr w:type="gramEnd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筋动力飞机</w:t>
            </w: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科学种植</w:t>
            </w:r>
          </w:p>
        </w:tc>
        <w:tc>
          <w:tcPr>
            <w:tcW w:w="813" w:type="dxa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</w:pPr>
            <w:proofErr w:type="gramStart"/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绿建未来</w:t>
            </w:r>
            <w:proofErr w:type="gramEnd"/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水底机器人</w:t>
            </w:r>
          </w:p>
        </w:tc>
        <w:tc>
          <w:tcPr>
            <w:tcW w:w="813" w:type="dxa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</w:rPr>
              <w:t>飞行汽车设计</w:t>
            </w:r>
          </w:p>
        </w:tc>
        <w:tc>
          <w:tcPr>
            <w:tcW w:w="819" w:type="dxa"/>
            <w:vAlign w:val="center"/>
          </w:tcPr>
          <w:p w:rsidR="007430B7" w:rsidRPr="000977DE" w:rsidRDefault="00F90AAC" w:rsidP="000977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  <w:r w:rsidRPr="000977DE"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  <w:t>指导老师</w:t>
            </w: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0977DE">
        <w:trPr>
          <w:trHeight w:val="90"/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  <w:tr w:rsidR="000977DE" w:rsidRPr="000977DE" w:rsidTr="000977DE">
        <w:trPr>
          <w:jc w:val="center"/>
        </w:trPr>
        <w:tc>
          <w:tcPr>
            <w:tcW w:w="1419" w:type="dxa"/>
            <w:vMerge/>
          </w:tcPr>
          <w:p w:rsidR="007430B7" w:rsidRPr="000977DE" w:rsidRDefault="007430B7" w:rsidP="00AA2D63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1420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3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  <w:tc>
          <w:tcPr>
            <w:tcW w:w="819" w:type="dxa"/>
            <w:vAlign w:val="center"/>
          </w:tcPr>
          <w:p w:rsidR="007430B7" w:rsidRPr="000977DE" w:rsidRDefault="007430B7" w:rsidP="000977D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 w:themeColor="text1"/>
                <w:kern w:val="0"/>
                <w:sz w:val="28"/>
                <w:szCs w:val="36"/>
              </w:rPr>
            </w:pPr>
          </w:p>
        </w:tc>
      </w:tr>
    </w:tbl>
    <w:p w:rsidR="007430B7" w:rsidRDefault="00F90AAC" w:rsidP="000977DE">
      <w:pP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 w:hint="eastAsia"/>
          <w:snapToGrid w:val="0"/>
          <w:color w:val="000000" w:themeColor="text1"/>
          <w:kern w:val="0"/>
          <w:sz w:val="28"/>
          <w:szCs w:val="36"/>
        </w:rPr>
      </w:pP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28"/>
          <w:szCs w:val="36"/>
        </w:rPr>
        <w:t>*</w:t>
      </w:r>
      <w:r w:rsidRPr="000977DE"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28"/>
          <w:szCs w:val="36"/>
        </w:rPr>
        <w:t>可另行加页；科学种植及飞行汽车设计数量不限，其他项目由各学校评选出一支队伍参加总决赛。</w:t>
      </w:r>
    </w:p>
    <w:p w:rsidR="000977DE" w:rsidRPr="000977DE" w:rsidRDefault="000977DE" w:rsidP="000977DE">
      <w:pPr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snapToGrid w:val="0"/>
          <w:color w:val="000000" w:themeColor="text1"/>
          <w:kern w:val="0"/>
          <w:sz w:val="28"/>
          <w:szCs w:val="36"/>
        </w:rPr>
      </w:pPr>
    </w:p>
    <w:sectPr w:rsidR="000977DE" w:rsidRPr="000977DE" w:rsidSect="000977DE">
      <w:footerReference w:type="even" r:id="rId15"/>
      <w:footerReference w:type="default" r:id="rId16"/>
      <w:pgSz w:w="11906" w:h="16838" w:code="9"/>
      <w:pgMar w:top="1928" w:right="1474" w:bottom="1928" w:left="1474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DE" w:rsidRDefault="000977DE" w:rsidP="000977DE">
      <w:r>
        <w:separator/>
      </w:r>
    </w:p>
  </w:endnote>
  <w:endnote w:type="continuationSeparator" w:id="0">
    <w:p w:rsidR="000977DE" w:rsidRDefault="000977DE" w:rsidP="0009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23282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977DE" w:rsidRPr="000977DE" w:rsidRDefault="000977DE" w:rsidP="000977DE">
        <w:pPr>
          <w:pStyle w:val="a4"/>
          <w:ind w:leftChars="75" w:left="158"/>
          <w:rPr>
            <w:rFonts w:asciiTheme="minorEastAsia" w:hAnsiTheme="minorEastAsia"/>
            <w:sz w:val="28"/>
            <w:szCs w:val="28"/>
          </w:rPr>
        </w:pPr>
        <w:r w:rsidRPr="000977DE">
          <w:rPr>
            <w:rFonts w:asciiTheme="minorEastAsia" w:hAnsiTheme="minorEastAsia"/>
            <w:sz w:val="28"/>
            <w:szCs w:val="28"/>
          </w:rPr>
          <w:fldChar w:fldCharType="begin"/>
        </w:r>
        <w:r w:rsidRPr="000977D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977DE">
          <w:rPr>
            <w:rFonts w:asciiTheme="minorEastAsia" w:hAnsiTheme="minorEastAsia"/>
            <w:sz w:val="28"/>
            <w:szCs w:val="28"/>
          </w:rPr>
          <w:fldChar w:fldCharType="separate"/>
        </w:r>
        <w:r w:rsidRPr="000977D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0977D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371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977DE" w:rsidRPr="000977DE" w:rsidRDefault="000977DE" w:rsidP="000977DE">
        <w:pPr>
          <w:pStyle w:val="a4"/>
          <w:ind w:rightChars="75" w:right="158"/>
          <w:jc w:val="right"/>
          <w:rPr>
            <w:rFonts w:asciiTheme="minorEastAsia" w:hAnsiTheme="minorEastAsia"/>
            <w:sz w:val="28"/>
            <w:szCs w:val="28"/>
          </w:rPr>
        </w:pPr>
        <w:r w:rsidRPr="000977DE">
          <w:rPr>
            <w:rFonts w:asciiTheme="minorEastAsia" w:hAnsiTheme="minorEastAsia"/>
            <w:sz w:val="28"/>
            <w:szCs w:val="28"/>
          </w:rPr>
          <w:fldChar w:fldCharType="begin"/>
        </w:r>
        <w:r w:rsidRPr="000977D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977DE">
          <w:rPr>
            <w:rFonts w:asciiTheme="minorEastAsia" w:hAnsiTheme="minorEastAsia"/>
            <w:sz w:val="28"/>
            <w:szCs w:val="28"/>
          </w:rPr>
          <w:fldChar w:fldCharType="separate"/>
        </w:r>
        <w:r w:rsidRPr="000977D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23 -</w:t>
        </w:r>
        <w:r w:rsidRPr="000977D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DE" w:rsidRDefault="000977DE" w:rsidP="000977DE">
      <w:r>
        <w:separator/>
      </w:r>
    </w:p>
  </w:footnote>
  <w:footnote w:type="continuationSeparator" w:id="0">
    <w:p w:rsidR="000977DE" w:rsidRDefault="000977DE" w:rsidP="0009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A2F5D"/>
    <w:multiLevelType w:val="singleLevel"/>
    <w:tmpl w:val="880A2F5D"/>
    <w:lvl w:ilvl="0">
      <w:start w:val="2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DB8725B5"/>
    <w:multiLevelType w:val="singleLevel"/>
    <w:tmpl w:val="DB8725B5"/>
    <w:lvl w:ilvl="0">
      <w:start w:val="5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2">
    <w:nsid w:val="EFEBF484"/>
    <w:multiLevelType w:val="singleLevel"/>
    <w:tmpl w:val="EFEBF484"/>
    <w:lvl w:ilvl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B7"/>
    <w:rsid w:val="EE797251"/>
    <w:rsid w:val="F79FCD91"/>
    <w:rsid w:val="FA67C652"/>
    <w:rsid w:val="FE7DC175"/>
    <w:rsid w:val="FFDD6AF1"/>
    <w:rsid w:val="000977DE"/>
    <w:rsid w:val="007430B7"/>
    <w:rsid w:val="00772A59"/>
    <w:rsid w:val="00AA2D63"/>
    <w:rsid w:val="00F90AAC"/>
    <w:rsid w:val="075802EF"/>
    <w:rsid w:val="0FD7617F"/>
    <w:rsid w:val="10E760DD"/>
    <w:rsid w:val="111D7348"/>
    <w:rsid w:val="17C20D1A"/>
    <w:rsid w:val="189214DF"/>
    <w:rsid w:val="1A351EF6"/>
    <w:rsid w:val="1E7E3C6A"/>
    <w:rsid w:val="1E965458"/>
    <w:rsid w:val="211B1AE3"/>
    <w:rsid w:val="29B44DA5"/>
    <w:rsid w:val="2B3B53BD"/>
    <w:rsid w:val="2D3D322F"/>
    <w:rsid w:val="2DFD6870"/>
    <w:rsid w:val="306369D7"/>
    <w:rsid w:val="33FC5905"/>
    <w:rsid w:val="36941E25"/>
    <w:rsid w:val="36A22794"/>
    <w:rsid w:val="386A0303"/>
    <w:rsid w:val="388C008A"/>
    <w:rsid w:val="39C26CA9"/>
    <w:rsid w:val="3EC63AF4"/>
    <w:rsid w:val="3ED94AA6"/>
    <w:rsid w:val="41746A12"/>
    <w:rsid w:val="473751E4"/>
    <w:rsid w:val="47EC73D9"/>
    <w:rsid w:val="4EA12ED9"/>
    <w:rsid w:val="4F314177"/>
    <w:rsid w:val="51544C79"/>
    <w:rsid w:val="52990875"/>
    <w:rsid w:val="52C62AF8"/>
    <w:rsid w:val="57284198"/>
    <w:rsid w:val="58C70C13"/>
    <w:rsid w:val="5FB707AE"/>
    <w:rsid w:val="633D0FCB"/>
    <w:rsid w:val="654E7C3B"/>
    <w:rsid w:val="65510D5D"/>
    <w:rsid w:val="65F75DA9"/>
    <w:rsid w:val="6A480035"/>
    <w:rsid w:val="6A9C2A7B"/>
    <w:rsid w:val="6ABD52A9"/>
    <w:rsid w:val="6E9DBCBD"/>
    <w:rsid w:val="7363682B"/>
    <w:rsid w:val="739E5125"/>
    <w:rsid w:val="7499002B"/>
    <w:rsid w:val="75556648"/>
    <w:rsid w:val="78ED09C7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4"/>
      <w:lang w:eastAsia="en-US"/>
    </w:rPr>
  </w:style>
  <w:style w:type="paragraph" w:styleId="a7">
    <w:name w:val="Balloon Text"/>
    <w:basedOn w:val="a"/>
    <w:link w:val="Char0"/>
    <w:rsid w:val="00AA2D63"/>
    <w:rPr>
      <w:sz w:val="18"/>
      <w:szCs w:val="18"/>
    </w:rPr>
  </w:style>
  <w:style w:type="character" w:customStyle="1" w:styleId="Char0">
    <w:name w:val="批注框文本 Char"/>
    <w:basedOn w:val="a0"/>
    <w:link w:val="a7"/>
    <w:rsid w:val="00AA2D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1"/>
    <w:rsid w:val="00097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0977D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977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4"/>
      <w:lang w:eastAsia="en-US"/>
    </w:rPr>
  </w:style>
  <w:style w:type="paragraph" w:styleId="a7">
    <w:name w:val="Balloon Text"/>
    <w:basedOn w:val="a"/>
    <w:link w:val="Char0"/>
    <w:rsid w:val="00AA2D63"/>
    <w:rPr>
      <w:sz w:val="18"/>
      <w:szCs w:val="18"/>
    </w:rPr>
  </w:style>
  <w:style w:type="character" w:customStyle="1" w:styleId="Char0">
    <w:name w:val="批注框文本 Char"/>
    <w:basedOn w:val="a0"/>
    <w:link w:val="a7"/>
    <w:rsid w:val="00AA2D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1"/>
    <w:rsid w:val="00097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0977D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977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8694</Words>
  <Characters>1014</Characters>
  <Application>Microsoft Office Word</Application>
  <DocSecurity>0</DocSecurity>
  <Lines>72</Lines>
  <Paragraphs>359</Paragraphs>
  <ScaleCrop>false</ScaleCrop>
  <Company>HP Inc.</Company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文印室</cp:lastModifiedBy>
  <cp:revision>21</cp:revision>
  <dcterms:created xsi:type="dcterms:W3CDTF">2025-09-19T00:40:00Z</dcterms:created>
  <dcterms:modified xsi:type="dcterms:W3CDTF">2025-10-14T02:01:00Z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eyJoZGlkIjoiMjM1ZjVkMjZkMjA2Zjg0ZTIxOTM1NTcxMDBmNjk5OWYiLCJ1c2VySWQiOiIxMjcyNzc5OTc0In0=</vt:lpwstr>
  </property>
  <property fmtid="{D5CDD505-2E9C-101B-9397-08002B2CF9AE}" pid="4" name="ICV">
    <vt:lpwstr>CADC45F72F494F0AADFACF6BFB72FA67_13</vt:lpwstr>
  </property>
</Properties>
</file>